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64DC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38CBE03" w:rsidR="00CD36CF" w:rsidRDefault="00A64DC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B262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B262B" w:rsidRPr="00AB262B">
            <w:t>498</w:t>
          </w:r>
        </w:sdtContent>
      </w:sdt>
    </w:p>
    <w:p w14:paraId="49621FC1" w14:textId="6C73EEA3" w:rsidR="00DC2EF4" w:rsidRPr="00DC2EF4" w:rsidRDefault="00DC2EF4" w:rsidP="00DC2EF4">
      <w:pPr>
        <w:pStyle w:val="Sponsors"/>
        <w:rPr>
          <w:color w:val="auto"/>
        </w:rPr>
      </w:pPr>
      <w:r w:rsidRPr="00D31ADA">
        <w:rPr>
          <w:color w:val="auto"/>
        </w:rPr>
        <w:t xml:space="preserve">By </w:t>
      </w:r>
      <w:sdt>
        <w:sdtPr>
          <w:rPr>
            <w:color w:val="auto"/>
          </w:rPr>
          <w:tag w:val="Sponsors"/>
          <w:id w:val="1589585889"/>
          <w:placeholder>
            <w:docPart w:val="8AC2D792BDC94D1E847F17DEBB95E206"/>
          </w:placeholder>
          <w:text w:multiLine="1"/>
        </w:sdtPr>
        <w:sdtEndPr/>
        <w:sdtContent>
          <w:r w:rsidRPr="00D31ADA">
            <w:rPr>
              <w:color w:val="auto"/>
            </w:rPr>
            <w:t>Senator</w:t>
          </w:r>
          <w:r w:rsidR="00A64DC9">
            <w:rPr>
              <w:color w:val="auto"/>
            </w:rPr>
            <w:t xml:space="preserve">s </w:t>
          </w:r>
          <w:r w:rsidRPr="00D31ADA">
            <w:rPr>
              <w:color w:val="auto"/>
            </w:rPr>
            <w:t>Rucker</w:t>
          </w:r>
          <w:r w:rsidR="00A64DC9">
            <w:rPr>
              <w:color w:val="auto"/>
            </w:rPr>
            <w:t xml:space="preserve">, </w:t>
          </w:r>
          <w:proofErr w:type="spellStart"/>
          <w:r w:rsidR="00A64DC9">
            <w:rPr>
              <w:color w:val="auto"/>
            </w:rPr>
            <w:t>Azinger</w:t>
          </w:r>
          <w:proofErr w:type="spellEnd"/>
          <w:r w:rsidR="00A64DC9">
            <w:rPr>
              <w:color w:val="auto"/>
            </w:rPr>
            <w:t xml:space="preserve">, </w:t>
          </w:r>
          <w:proofErr w:type="spellStart"/>
          <w:r w:rsidR="00A64DC9">
            <w:rPr>
              <w:color w:val="auto"/>
            </w:rPr>
            <w:t>Sypolt</w:t>
          </w:r>
          <w:proofErr w:type="spellEnd"/>
          <w:r w:rsidR="00A64DC9">
            <w:rPr>
              <w:color w:val="auto"/>
            </w:rPr>
            <w:t>, Karnes, and Maynard</w:t>
          </w:r>
        </w:sdtContent>
      </w:sdt>
    </w:p>
    <w:p w14:paraId="0875E990" w14:textId="52E8882C" w:rsidR="00AB262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80585">
            <w:t>Education</w:t>
          </w:r>
        </w:sdtContent>
      </w:sdt>
      <w:r w:rsidR="00002112">
        <w:t xml:space="preserve">; reported on </w:t>
      </w:r>
      <w:sdt>
        <w:sdtPr>
          <w:id w:val="-32107996"/>
          <w:placeholder>
            <w:docPart w:val="5E771B5A25284D139447082E3754990B"/>
          </w:placeholder>
          <w:text/>
        </w:sdtPr>
        <w:sdtEndPr/>
        <w:sdtContent>
          <w:r w:rsidR="00680585">
            <w:t xml:space="preserve">February </w:t>
          </w:r>
          <w:r w:rsidR="00B34EC0">
            <w:t>2</w:t>
          </w:r>
          <w:r w:rsidR="00680585">
            <w:t>8, 2022</w:t>
          </w:r>
        </w:sdtContent>
      </w:sdt>
      <w:r>
        <w:t>]</w:t>
      </w:r>
    </w:p>
    <w:p w14:paraId="306F39B6" w14:textId="77777777" w:rsidR="00AB262B" w:rsidRDefault="00AB262B" w:rsidP="00AB262B">
      <w:pPr>
        <w:pStyle w:val="TitlePageOrigin"/>
      </w:pPr>
    </w:p>
    <w:p w14:paraId="3F501245" w14:textId="0D6680FE" w:rsidR="00AB262B" w:rsidRPr="00D31ADA" w:rsidRDefault="00AB262B" w:rsidP="00AB262B">
      <w:pPr>
        <w:pStyle w:val="TitlePageOrigin"/>
        <w:rPr>
          <w:color w:val="auto"/>
        </w:rPr>
      </w:pPr>
    </w:p>
    <w:p w14:paraId="7DD9BCC6" w14:textId="22BADDBA" w:rsidR="00AB262B" w:rsidRPr="00D31ADA" w:rsidRDefault="00AB262B" w:rsidP="00AB262B">
      <w:pPr>
        <w:pStyle w:val="TitleSection"/>
        <w:rPr>
          <w:color w:val="auto"/>
        </w:rPr>
      </w:pPr>
      <w:r w:rsidRPr="00D31ADA">
        <w:rPr>
          <w:color w:val="auto"/>
        </w:rPr>
        <w:lastRenderedPageBreak/>
        <w:t xml:space="preserve">A BILL to amend the Code of West Virginia, 1931, as amended, by adding thereto a new section, designated §18-2-9b; and to amend said code by adding thereto a new section, designated §18B-14-4, all relating to prohibiting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 employee of certain specified concepts; </w:t>
      </w:r>
      <w:r w:rsidR="001366A4">
        <w:rPr>
          <w:color w:val="auto"/>
        </w:rPr>
        <w:t xml:space="preserve">prohibiting a state institution of higher education or any of its employees from requiring a student or employee to take instruction in, or include in the curriculum of any required course, or require a statement or affirmation by any student or employee that certain </w:t>
      </w:r>
      <w:r w:rsidR="00B708B1">
        <w:rPr>
          <w:color w:val="auto"/>
        </w:rPr>
        <w:t xml:space="preserve">specified </w:t>
      </w:r>
      <w:r w:rsidR="001366A4">
        <w:rPr>
          <w:color w:val="auto"/>
        </w:rPr>
        <w:t xml:space="preserve">concepts are factual and accurate or must be held as a belief of the student or employee; </w:t>
      </w:r>
      <w:r w:rsidR="00634EFF">
        <w:rPr>
          <w:color w:val="auto"/>
        </w:rPr>
        <w:t xml:space="preserve">defining terms; </w:t>
      </w:r>
      <w:r w:rsidR="00B708B1">
        <w:rPr>
          <w:color w:val="auto"/>
        </w:rPr>
        <w:t xml:space="preserve">recognizing that state institutions of higher education prohibit discrimination and have an obligation to protect the right to free speech; </w:t>
      </w:r>
      <w:r w:rsidR="00634EFF">
        <w:rPr>
          <w:color w:val="auto"/>
        </w:rPr>
        <w:t xml:space="preserve">limiting prohibitions; </w:t>
      </w:r>
      <w:r w:rsidR="00DB64DF">
        <w:rPr>
          <w:color w:val="auto"/>
        </w:rPr>
        <w:t xml:space="preserve">establishing public elementary and secondary school complaint </w:t>
      </w:r>
      <w:r w:rsidR="004B02C2">
        <w:rPr>
          <w:color w:val="auto"/>
        </w:rPr>
        <w:t xml:space="preserve">and appeal </w:t>
      </w:r>
      <w:r w:rsidR="00DB64DF">
        <w:rPr>
          <w:color w:val="auto"/>
        </w:rPr>
        <w:t xml:space="preserve">procedures </w:t>
      </w:r>
      <w:r w:rsidR="002F2699">
        <w:rPr>
          <w:color w:val="auto"/>
        </w:rPr>
        <w:t xml:space="preserve">for </w:t>
      </w:r>
      <w:r w:rsidR="00E362C7">
        <w:rPr>
          <w:color w:val="auto"/>
        </w:rPr>
        <w:t xml:space="preserve">alleged </w:t>
      </w:r>
      <w:r w:rsidR="002F2699">
        <w:rPr>
          <w:color w:val="auto"/>
        </w:rPr>
        <w:t>viola</w:t>
      </w:r>
      <w:r w:rsidR="00163E62">
        <w:rPr>
          <w:color w:val="auto"/>
        </w:rPr>
        <w:t>tions</w:t>
      </w:r>
      <w:r w:rsidR="00DB64DF">
        <w:rPr>
          <w:color w:val="auto"/>
        </w:rPr>
        <w:t xml:space="preserve"> and complaint reporting procedures</w:t>
      </w:r>
      <w:r w:rsidR="002F2699">
        <w:rPr>
          <w:color w:val="auto"/>
        </w:rPr>
        <w:t xml:space="preserve">; </w:t>
      </w:r>
      <w:r w:rsidR="00EA4CAC">
        <w:rPr>
          <w:color w:val="auto"/>
        </w:rPr>
        <w:t xml:space="preserve">requiring each campus to report to the Higher Education Policy Commission or the Council for Community and Technical College Education </w:t>
      </w:r>
      <w:r w:rsidR="003C28F8">
        <w:rPr>
          <w:color w:val="auto"/>
        </w:rPr>
        <w:t xml:space="preserve">a description of any violations; and </w:t>
      </w:r>
      <w:r w:rsidR="002F2699">
        <w:rPr>
          <w:color w:val="auto"/>
        </w:rPr>
        <w:t xml:space="preserve">requiring </w:t>
      </w:r>
      <w:r w:rsidR="00162D8A">
        <w:rPr>
          <w:color w:val="auto"/>
        </w:rPr>
        <w:t xml:space="preserve">certain information on the </w:t>
      </w:r>
      <w:r w:rsidR="002F2699">
        <w:rPr>
          <w:color w:val="auto"/>
        </w:rPr>
        <w:t xml:space="preserve">complaints filed </w:t>
      </w:r>
      <w:r w:rsidR="003C28F8">
        <w:rPr>
          <w:color w:val="auto"/>
        </w:rPr>
        <w:t xml:space="preserve">and reported violations </w:t>
      </w:r>
      <w:r w:rsidR="002F2699">
        <w:rPr>
          <w:color w:val="auto"/>
        </w:rPr>
        <w:t>to be reported to the Legislative Oversight Commission on Education Accountability</w:t>
      </w:r>
      <w:r w:rsidRPr="00D31ADA">
        <w:rPr>
          <w:color w:val="auto"/>
        </w:rPr>
        <w:t>.</w:t>
      </w:r>
    </w:p>
    <w:p w14:paraId="252C04B9" w14:textId="77777777" w:rsidR="00AB262B" w:rsidRPr="00D31ADA" w:rsidRDefault="00AB262B" w:rsidP="00AB262B">
      <w:pPr>
        <w:pStyle w:val="EnactingClause"/>
        <w:rPr>
          <w:color w:val="auto"/>
        </w:rPr>
        <w:sectPr w:rsidR="00AB262B" w:rsidRPr="00D31ADA" w:rsidSect="00AB26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1ADA">
        <w:rPr>
          <w:color w:val="auto"/>
        </w:rPr>
        <w:t>Be it enacted by the Legislature of West Virginia:</w:t>
      </w:r>
    </w:p>
    <w:p w14:paraId="24BDEC60" w14:textId="77777777" w:rsidR="00AB262B" w:rsidRPr="00D31ADA" w:rsidRDefault="00AB262B" w:rsidP="00AB262B">
      <w:pPr>
        <w:pStyle w:val="ChapterHeading"/>
        <w:rPr>
          <w:color w:val="auto"/>
        </w:rPr>
        <w:sectPr w:rsidR="00AB262B" w:rsidRPr="00D31ADA" w:rsidSect="008879CA">
          <w:type w:val="continuous"/>
          <w:pgSz w:w="12240" w:h="15840" w:code="1"/>
          <w:pgMar w:top="1440" w:right="1440" w:bottom="1440" w:left="1440" w:header="720" w:footer="720" w:gutter="0"/>
          <w:lnNumType w:countBy="1" w:restart="newSection"/>
          <w:cols w:space="720"/>
          <w:titlePg/>
          <w:docGrid w:linePitch="360"/>
        </w:sectPr>
      </w:pPr>
      <w:r w:rsidRPr="00D31ADA">
        <w:rPr>
          <w:color w:val="auto"/>
        </w:rPr>
        <w:t>CHAPTER 18. EDUCATION.</w:t>
      </w:r>
    </w:p>
    <w:p w14:paraId="2521D713" w14:textId="77777777" w:rsidR="00AB262B" w:rsidRPr="00D31ADA" w:rsidRDefault="00AB262B" w:rsidP="00AB262B">
      <w:pPr>
        <w:pStyle w:val="ArticleHeading"/>
        <w:rPr>
          <w:color w:val="auto"/>
        </w:rPr>
        <w:sectPr w:rsidR="00AB262B" w:rsidRPr="00D31ADA" w:rsidSect="00874803">
          <w:type w:val="continuous"/>
          <w:pgSz w:w="12240" w:h="15840" w:code="1"/>
          <w:pgMar w:top="1440" w:right="1440" w:bottom="1440" w:left="1440" w:header="720" w:footer="720" w:gutter="0"/>
          <w:lnNumType w:countBy="1" w:restart="newSection"/>
          <w:cols w:space="720"/>
          <w:titlePg/>
          <w:docGrid w:linePitch="360"/>
        </w:sectPr>
      </w:pPr>
      <w:r w:rsidRPr="00D31ADA">
        <w:rPr>
          <w:color w:val="auto"/>
        </w:rPr>
        <w:t>ARTICLE 2. STATE BOARD OF EDUCATION.</w:t>
      </w:r>
    </w:p>
    <w:p w14:paraId="1E44B039" w14:textId="77777777" w:rsidR="00AB262B" w:rsidRPr="00D31ADA" w:rsidRDefault="00AB262B" w:rsidP="00AB262B">
      <w:pPr>
        <w:pStyle w:val="SectionHeading"/>
        <w:rPr>
          <w:color w:val="auto"/>
          <w:u w:val="single"/>
        </w:rPr>
      </w:pPr>
      <w:r w:rsidRPr="00D31ADA">
        <w:rPr>
          <w:color w:val="auto"/>
          <w:u w:val="single"/>
        </w:rPr>
        <w:t>§18-2-9b. Anti-Racism Act of 2022.</w:t>
      </w:r>
    </w:p>
    <w:p w14:paraId="4C2936A6" w14:textId="77777777" w:rsidR="00AB262B" w:rsidRPr="00D31ADA" w:rsidRDefault="00AB262B" w:rsidP="00AB262B">
      <w:pPr>
        <w:pStyle w:val="SectionHeading"/>
        <w:rPr>
          <w:color w:val="auto"/>
          <w:u w:val="single"/>
        </w:rPr>
        <w:sectPr w:rsidR="00AB262B" w:rsidRPr="00D31ADA" w:rsidSect="00D77BE2">
          <w:type w:val="continuous"/>
          <w:pgSz w:w="12240" w:h="15840" w:code="1"/>
          <w:pgMar w:top="1440" w:right="1440" w:bottom="1440" w:left="1440" w:header="720" w:footer="720" w:gutter="0"/>
          <w:lnNumType w:countBy="1" w:restart="newSection"/>
          <w:cols w:space="720"/>
          <w:titlePg/>
          <w:docGrid w:linePitch="360"/>
        </w:sectPr>
      </w:pPr>
    </w:p>
    <w:p w14:paraId="64226421" w14:textId="77777777" w:rsidR="00AB262B" w:rsidRPr="00D31ADA" w:rsidRDefault="00AB262B" w:rsidP="00AB262B">
      <w:pPr>
        <w:pStyle w:val="SectionBody"/>
        <w:rPr>
          <w:color w:val="auto"/>
          <w:u w:val="single"/>
        </w:rPr>
      </w:pPr>
      <w:r w:rsidRPr="00D31ADA">
        <w:rPr>
          <w:color w:val="auto"/>
          <w:u w:val="single"/>
        </w:rPr>
        <w:t>(a) As used in this section:</w:t>
      </w:r>
    </w:p>
    <w:p w14:paraId="1668406D" w14:textId="77777777" w:rsidR="00AB262B" w:rsidRPr="00D31ADA" w:rsidRDefault="00AB262B" w:rsidP="00AB262B">
      <w:pPr>
        <w:pStyle w:val="SectionBody"/>
        <w:rPr>
          <w:color w:val="auto"/>
          <w:u w:val="single"/>
        </w:rPr>
      </w:pPr>
      <w:r w:rsidRPr="00D31ADA">
        <w:rPr>
          <w:color w:val="auto"/>
          <w:u w:val="single"/>
        </w:rPr>
        <w:t>(1) “Biological sex” means an individual’s physical form as a male or female based solely on the individual’s reproductive biology and genetics at birth;</w:t>
      </w:r>
    </w:p>
    <w:p w14:paraId="387C416E" w14:textId="77777777" w:rsidR="00AB262B" w:rsidRPr="00D31ADA" w:rsidRDefault="00AB262B" w:rsidP="00AB262B">
      <w:pPr>
        <w:pStyle w:val="SectionBody"/>
        <w:rPr>
          <w:color w:val="auto"/>
          <w:u w:val="single"/>
        </w:rPr>
      </w:pPr>
      <w:r w:rsidRPr="00D31ADA">
        <w:rPr>
          <w:color w:val="auto"/>
          <w:u w:val="single"/>
        </w:rPr>
        <w:lastRenderedPageBreak/>
        <w:t>(2) “Ethnic group” means a category of population that is set apart and bound together by common ties of race, language, nationality, or culture; and</w:t>
      </w:r>
    </w:p>
    <w:p w14:paraId="11E6FCC5" w14:textId="77777777" w:rsidR="00AB262B" w:rsidRPr="00D31ADA" w:rsidRDefault="00AB262B" w:rsidP="00AB262B">
      <w:pPr>
        <w:pStyle w:val="SectionBody"/>
        <w:rPr>
          <w:color w:val="auto"/>
          <w:u w:val="single"/>
        </w:rPr>
      </w:pPr>
      <w:r w:rsidRPr="00D31ADA">
        <w:rPr>
          <w:color w:val="auto"/>
          <w:u w:val="single"/>
        </w:rPr>
        <w:t>(3) “Race” means any one of the groups that humans are often divided into based on physical traits regarded as common among people of shared ancestry.</w:t>
      </w:r>
    </w:p>
    <w:p w14:paraId="657BC2F1" w14:textId="77777777" w:rsidR="00AB262B" w:rsidRPr="00D31ADA" w:rsidRDefault="00AB262B" w:rsidP="00AB262B">
      <w:pPr>
        <w:pStyle w:val="SectionBody"/>
        <w:rPr>
          <w:rFonts w:cs="Arial"/>
          <w:color w:val="auto"/>
          <w:u w:val="single"/>
        </w:rPr>
      </w:pPr>
      <w:r w:rsidRPr="00D31ADA">
        <w:rPr>
          <w:color w:val="auto"/>
          <w:u w:val="single"/>
        </w:rPr>
        <w:t>(b)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w:t>
      </w:r>
    </w:p>
    <w:p w14:paraId="57F28C4A" w14:textId="77777777" w:rsidR="00AB262B" w:rsidRPr="00D31ADA" w:rsidRDefault="00AB262B" w:rsidP="00AB262B">
      <w:pPr>
        <w:pStyle w:val="SectionBody"/>
        <w:rPr>
          <w:color w:val="auto"/>
          <w:u w:val="single"/>
        </w:rPr>
      </w:pPr>
      <w:r w:rsidRPr="00D31ADA">
        <w:rPr>
          <w:color w:val="auto"/>
          <w:u w:val="single"/>
        </w:rPr>
        <w:t>(1) One race, ethnic group, or biological sex is inherently, morally, or intellectually superior to another race, ethnic group, or biological sex;</w:t>
      </w:r>
    </w:p>
    <w:p w14:paraId="0EFCCC93" w14:textId="77777777" w:rsidR="00AB262B" w:rsidRPr="00D31ADA" w:rsidRDefault="00AB262B" w:rsidP="00AB262B">
      <w:pPr>
        <w:pStyle w:val="SectionBody"/>
        <w:rPr>
          <w:color w:val="auto"/>
          <w:u w:val="single"/>
        </w:rPr>
      </w:pPr>
      <w:r w:rsidRPr="00D31ADA">
        <w:rPr>
          <w:color w:val="auto"/>
          <w:u w:val="single"/>
        </w:rPr>
        <w:t>(2) An individual, by virtue of the individual’s race, ethnicity, or biological sex, is inherently racist, sexist, or oppressive, whether consciously or unconsciously;</w:t>
      </w:r>
    </w:p>
    <w:p w14:paraId="1340E724" w14:textId="77777777" w:rsidR="00AB262B" w:rsidRPr="00D31ADA" w:rsidRDefault="00AB262B" w:rsidP="00AB262B">
      <w:pPr>
        <w:pStyle w:val="SectionBody"/>
        <w:rPr>
          <w:color w:val="auto"/>
          <w:u w:val="single"/>
        </w:rPr>
      </w:pPr>
      <w:r w:rsidRPr="00D31ADA">
        <w:rPr>
          <w:color w:val="auto"/>
          <w:u w:val="single"/>
        </w:rPr>
        <w:t>(3) An individual should be discriminated against or receive adverse treatment solely or partly because of the individual’s race, ethnicity, or biological sex;</w:t>
      </w:r>
    </w:p>
    <w:p w14:paraId="3BF00B59" w14:textId="77777777" w:rsidR="00AB262B" w:rsidRPr="00D31ADA" w:rsidRDefault="00AB262B" w:rsidP="00AB262B">
      <w:pPr>
        <w:pStyle w:val="SectionBody"/>
        <w:rPr>
          <w:color w:val="auto"/>
          <w:u w:val="single"/>
        </w:rPr>
      </w:pPr>
      <w:r w:rsidRPr="00D31ADA">
        <w:rPr>
          <w:color w:val="auto"/>
          <w:u w:val="single"/>
        </w:rPr>
        <w:t>(4) An individual’s moral character is determined by the individual’s race, ethnicity, or biological sex;</w:t>
      </w:r>
    </w:p>
    <w:p w14:paraId="02F022D0" w14:textId="77777777" w:rsidR="00AB262B" w:rsidRPr="00D31ADA" w:rsidRDefault="00AB262B" w:rsidP="00AB262B">
      <w:pPr>
        <w:pStyle w:val="SectionBody"/>
        <w:rPr>
          <w:color w:val="auto"/>
          <w:u w:val="single"/>
        </w:rPr>
      </w:pPr>
      <w:r w:rsidRPr="00D31ADA">
        <w:rPr>
          <w:color w:val="auto"/>
          <w:u w:val="single"/>
        </w:rPr>
        <w:t>(5) An individual, by virtue of the individual’s race, ethnicity, or biological sex, bears responsibility for actions committed by other members of the same race, ethnic group, or biological sex;</w:t>
      </w:r>
    </w:p>
    <w:p w14:paraId="517431FF" w14:textId="77777777" w:rsidR="00AB262B" w:rsidRPr="00D31ADA" w:rsidRDefault="00AB262B" w:rsidP="00AB262B">
      <w:pPr>
        <w:pStyle w:val="SectionBody"/>
        <w:rPr>
          <w:color w:val="auto"/>
          <w:u w:val="single"/>
        </w:rPr>
      </w:pPr>
      <w:r w:rsidRPr="00D31ADA">
        <w:rPr>
          <w:color w:val="auto"/>
          <w:u w:val="single"/>
        </w:rPr>
        <w:t>(6) An individual should feel discomfort, guilt, anguish, or any other form of psychological distress because of the individual’s race, ethnicity, or biological sex; and</w:t>
      </w:r>
    </w:p>
    <w:p w14:paraId="71AED276" w14:textId="3D3A9BF4" w:rsidR="00AB262B" w:rsidRDefault="00AB262B" w:rsidP="00AB262B">
      <w:pPr>
        <w:pStyle w:val="SectionBody"/>
        <w:rPr>
          <w:color w:val="auto"/>
          <w:u w:val="single"/>
        </w:rPr>
      </w:pPr>
      <w:r w:rsidRPr="00D31ADA">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440DA71B" w14:textId="01EEA586" w:rsidR="00AF1141" w:rsidRPr="005F0D6C" w:rsidRDefault="00AF1141" w:rsidP="00AF1141">
      <w:pPr>
        <w:pStyle w:val="SectionBody"/>
        <w:rPr>
          <w:color w:val="auto"/>
          <w:u w:val="single"/>
        </w:rPr>
      </w:pPr>
      <w:r w:rsidRPr="005F0D6C">
        <w:rPr>
          <w:color w:val="auto"/>
          <w:u w:val="single"/>
        </w:rPr>
        <w:t>(</w:t>
      </w:r>
      <w:r w:rsidR="00B30EA7" w:rsidRPr="005F0D6C">
        <w:rPr>
          <w:color w:val="auto"/>
          <w:u w:val="single"/>
        </w:rPr>
        <w:t>c</w:t>
      </w:r>
      <w:r w:rsidRPr="005F0D6C">
        <w:rPr>
          <w:color w:val="auto"/>
          <w:u w:val="single"/>
        </w:rPr>
        <w:t>) Nothing in subsection (</w:t>
      </w:r>
      <w:r w:rsidR="00B30EA7" w:rsidRPr="005F0D6C">
        <w:rPr>
          <w:color w:val="auto"/>
          <w:u w:val="single"/>
        </w:rPr>
        <w:t>b</w:t>
      </w:r>
      <w:r w:rsidRPr="005F0D6C">
        <w:rPr>
          <w:color w:val="auto"/>
          <w:u w:val="single"/>
        </w:rPr>
        <w:t>) of this section prohibits:</w:t>
      </w:r>
    </w:p>
    <w:p w14:paraId="5AD085DB" w14:textId="77777777" w:rsidR="00AF1141" w:rsidRPr="005F0D6C" w:rsidRDefault="00AF1141" w:rsidP="00AF1141">
      <w:pPr>
        <w:pStyle w:val="SectionBody"/>
        <w:rPr>
          <w:color w:val="auto"/>
          <w:u w:val="single"/>
        </w:rPr>
      </w:pPr>
      <w:r w:rsidRPr="005F0D6C">
        <w:rPr>
          <w:color w:val="auto"/>
          <w:u w:val="single"/>
        </w:rPr>
        <w:t xml:space="preserve">(1) The discussion of those concepts in theory as part of an academic course if discussion </w:t>
      </w:r>
      <w:r w:rsidRPr="005F0D6C">
        <w:rPr>
          <w:color w:val="auto"/>
          <w:u w:val="single"/>
        </w:rPr>
        <w:lastRenderedPageBreak/>
        <w:t xml:space="preserve">of alternative theories </w:t>
      </w:r>
      <w:proofErr w:type="gramStart"/>
      <w:r w:rsidRPr="005F0D6C">
        <w:rPr>
          <w:color w:val="auto"/>
          <w:u w:val="single"/>
        </w:rPr>
        <w:t>are</w:t>
      </w:r>
      <w:proofErr w:type="gramEnd"/>
      <w:r w:rsidRPr="005F0D6C">
        <w:rPr>
          <w:color w:val="auto"/>
          <w:u w:val="single"/>
        </w:rPr>
        <w:t xml:space="preserve"> also included in the course;</w:t>
      </w:r>
    </w:p>
    <w:p w14:paraId="0CAC149A" w14:textId="77777777" w:rsidR="00AF1141" w:rsidRPr="005F0D6C" w:rsidRDefault="00AF1141" w:rsidP="00AF1141">
      <w:pPr>
        <w:pStyle w:val="SectionBody"/>
        <w:rPr>
          <w:color w:val="auto"/>
          <w:u w:val="single"/>
        </w:rPr>
      </w:pPr>
      <w:r w:rsidRPr="005F0D6C">
        <w:rPr>
          <w:color w:val="auto"/>
          <w:u w:val="single"/>
        </w:rPr>
        <w:t>(2) The discussion, examination, and debate that the role that race, ethnicity, or biological sex has impacted historical or current events, including the causes of those current or historical events; and</w:t>
      </w:r>
    </w:p>
    <w:p w14:paraId="0C7DC0C0" w14:textId="57633356" w:rsidR="00AF1141" w:rsidRPr="005F0D6C" w:rsidRDefault="00AF1141" w:rsidP="00AF1141">
      <w:pPr>
        <w:pStyle w:val="SectionBody"/>
        <w:rPr>
          <w:color w:val="auto"/>
          <w:u w:val="single"/>
        </w:rPr>
      </w:pPr>
      <w:r w:rsidRPr="005F0D6C">
        <w:rPr>
          <w:color w:val="auto"/>
          <w:u w:val="single"/>
        </w:rPr>
        <w:t>(3) The right to freedom of speech protected by the First Amendment of the United States Constitution and the West Virginia Constitution.</w:t>
      </w:r>
    </w:p>
    <w:p w14:paraId="5ACCED01" w14:textId="07018253" w:rsidR="00AB262B" w:rsidRPr="00D31ADA" w:rsidRDefault="00AB262B" w:rsidP="00AB262B">
      <w:pPr>
        <w:pStyle w:val="SectionBody"/>
        <w:rPr>
          <w:rFonts w:cs="Arial"/>
          <w:color w:val="auto"/>
        </w:rPr>
      </w:pPr>
      <w:r w:rsidRPr="005F0D6C">
        <w:rPr>
          <w:color w:val="auto"/>
          <w:u w:val="single"/>
        </w:rPr>
        <w:t>(</w:t>
      </w:r>
      <w:r w:rsidR="00B30EA7" w:rsidRPr="005F0D6C">
        <w:rPr>
          <w:color w:val="auto"/>
          <w:u w:val="single"/>
        </w:rPr>
        <w:t>d</w:t>
      </w:r>
      <w:r w:rsidRPr="005F0D6C">
        <w:rPr>
          <w:color w:val="auto"/>
          <w:u w:val="single"/>
        </w:rPr>
        <w:t>) Any student</w:t>
      </w:r>
      <w:r w:rsidR="004970DE" w:rsidRPr="005F0D6C">
        <w:rPr>
          <w:color w:val="auto"/>
          <w:u w:val="single"/>
        </w:rPr>
        <w:t xml:space="preserve">, parent or guardian of a student, </w:t>
      </w:r>
      <w:r w:rsidRPr="005F0D6C">
        <w:rPr>
          <w:color w:val="auto"/>
          <w:u w:val="single"/>
        </w:rPr>
        <w:t>or employee aggrieved by a</w:t>
      </w:r>
      <w:r w:rsidR="00D42F9F" w:rsidRPr="005F0D6C">
        <w:rPr>
          <w:color w:val="auto"/>
          <w:u w:val="single"/>
        </w:rPr>
        <w:t>n</w:t>
      </w:r>
      <w:r w:rsidRPr="005F0D6C">
        <w:rPr>
          <w:color w:val="auto"/>
          <w:u w:val="single"/>
        </w:rPr>
        <w:t xml:space="preserve"> </w:t>
      </w:r>
      <w:r w:rsidR="00D42F9F" w:rsidRPr="005F0D6C">
        <w:rPr>
          <w:color w:val="auto"/>
          <w:u w:val="single"/>
        </w:rPr>
        <w:t xml:space="preserve">alleged </w:t>
      </w:r>
      <w:r w:rsidRPr="005F0D6C">
        <w:rPr>
          <w:color w:val="auto"/>
          <w:u w:val="single"/>
        </w:rPr>
        <w:t>violation of this section may</w:t>
      </w:r>
      <w:r w:rsidR="00680585" w:rsidRPr="005F0D6C">
        <w:rPr>
          <w:color w:val="auto"/>
          <w:u w:val="single"/>
        </w:rPr>
        <w:t xml:space="preserve"> file a complaint with the </w:t>
      </w:r>
      <w:r w:rsidR="00637FD5" w:rsidRPr="005F0D6C">
        <w:rPr>
          <w:color w:val="auto"/>
          <w:u w:val="single"/>
        </w:rPr>
        <w:t>school principal</w:t>
      </w:r>
      <w:r w:rsidRPr="005F0D6C">
        <w:rPr>
          <w:rFonts w:cs="Arial"/>
          <w:color w:val="auto"/>
          <w:u w:val="single"/>
        </w:rPr>
        <w:t>.</w:t>
      </w:r>
      <w:r w:rsidR="009A71D6" w:rsidRPr="005F0D6C">
        <w:rPr>
          <w:rFonts w:cs="Arial"/>
          <w:color w:val="auto"/>
          <w:u w:val="single"/>
        </w:rPr>
        <w:t xml:space="preserve"> </w:t>
      </w:r>
      <w:r w:rsidR="00B33253" w:rsidRPr="005F0D6C">
        <w:rPr>
          <w:rFonts w:cs="Arial"/>
          <w:color w:val="auto"/>
          <w:u w:val="single"/>
        </w:rPr>
        <w:t>Any complainant upon an adverse ruling or no ruling</w:t>
      </w:r>
      <w:r w:rsidR="00BE1C4F" w:rsidRPr="005F0D6C">
        <w:rPr>
          <w:rFonts w:cs="Arial"/>
          <w:color w:val="auto"/>
          <w:u w:val="single"/>
        </w:rPr>
        <w:t xml:space="preserve"> </w:t>
      </w:r>
      <w:r w:rsidR="00D42F9F" w:rsidRPr="005F0D6C">
        <w:rPr>
          <w:rFonts w:cs="Arial"/>
          <w:color w:val="auto"/>
          <w:u w:val="single"/>
        </w:rPr>
        <w:t xml:space="preserve">within 10 business days </w:t>
      </w:r>
      <w:r w:rsidR="00BE1C4F" w:rsidRPr="005F0D6C">
        <w:rPr>
          <w:rFonts w:cs="Arial"/>
          <w:color w:val="auto"/>
          <w:u w:val="single"/>
        </w:rPr>
        <w:t>by the school principal</w:t>
      </w:r>
      <w:r w:rsidR="00B33253" w:rsidRPr="005F0D6C">
        <w:rPr>
          <w:rFonts w:cs="Arial"/>
          <w:color w:val="auto"/>
          <w:u w:val="single"/>
        </w:rPr>
        <w:t>, may file an appeal to the county superintendent.</w:t>
      </w:r>
      <w:r w:rsidR="00BE1C4F" w:rsidRPr="005F0D6C">
        <w:rPr>
          <w:rFonts w:cs="Arial"/>
          <w:color w:val="auto"/>
          <w:u w:val="single"/>
        </w:rPr>
        <w:t xml:space="preserve"> Any complainant upon an adverse ruling or no ruling </w:t>
      </w:r>
      <w:r w:rsidR="00D42F9F" w:rsidRPr="005F0D6C">
        <w:rPr>
          <w:rFonts w:cs="Arial"/>
          <w:color w:val="auto"/>
          <w:u w:val="single"/>
        </w:rPr>
        <w:t xml:space="preserve">within 10 business days </w:t>
      </w:r>
      <w:r w:rsidR="00BE1C4F" w:rsidRPr="005F0D6C">
        <w:rPr>
          <w:rFonts w:cs="Arial"/>
          <w:color w:val="auto"/>
          <w:u w:val="single"/>
        </w:rPr>
        <w:t>by the county superintendent may file an appeal to the state superintendent</w:t>
      </w:r>
      <w:r w:rsidR="005C423D" w:rsidRPr="005F0D6C">
        <w:rPr>
          <w:rFonts w:cs="Arial"/>
          <w:color w:val="auto"/>
          <w:u w:val="single"/>
        </w:rPr>
        <w:t xml:space="preserve">. </w:t>
      </w:r>
      <w:r w:rsidR="005E11E2" w:rsidRPr="005F0D6C">
        <w:rPr>
          <w:rFonts w:cs="Arial"/>
          <w:color w:val="auto"/>
          <w:u w:val="single"/>
        </w:rPr>
        <w:t xml:space="preserve">The state superintendent </w:t>
      </w:r>
      <w:r w:rsidR="009A71D6" w:rsidRPr="005F0D6C">
        <w:rPr>
          <w:rFonts w:cs="Arial"/>
          <w:color w:val="auto"/>
          <w:u w:val="single"/>
        </w:rPr>
        <w:t xml:space="preserve">shall make </w:t>
      </w:r>
      <w:r w:rsidR="005E11E2" w:rsidRPr="005F0D6C">
        <w:rPr>
          <w:rFonts w:cs="Arial"/>
          <w:color w:val="auto"/>
          <w:u w:val="single"/>
        </w:rPr>
        <w:t xml:space="preserve">forms </w:t>
      </w:r>
      <w:r w:rsidR="009A71D6" w:rsidRPr="005F0D6C">
        <w:rPr>
          <w:rFonts w:cs="Arial"/>
          <w:color w:val="auto"/>
          <w:u w:val="single"/>
        </w:rPr>
        <w:t xml:space="preserve">available for </w:t>
      </w:r>
      <w:r w:rsidR="009F5501" w:rsidRPr="005F0D6C">
        <w:rPr>
          <w:rFonts w:cs="Arial"/>
          <w:color w:val="auto"/>
          <w:u w:val="single"/>
        </w:rPr>
        <w:t>students</w:t>
      </w:r>
      <w:r w:rsidR="004970DE" w:rsidRPr="005F0D6C">
        <w:rPr>
          <w:rFonts w:cs="Arial"/>
          <w:color w:val="auto"/>
          <w:u w:val="single"/>
        </w:rPr>
        <w:t xml:space="preserve">, parents or guardians of a student, </w:t>
      </w:r>
      <w:r w:rsidR="009F5501" w:rsidRPr="005F0D6C">
        <w:rPr>
          <w:rFonts w:cs="Arial"/>
          <w:color w:val="auto"/>
          <w:u w:val="single"/>
        </w:rPr>
        <w:t>and employees</w:t>
      </w:r>
      <w:r w:rsidR="009A71D6" w:rsidRPr="005F0D6C">
        <w:rPr>
          <w:rFonts w:cs="Arial"/>
          <w:color w:val="auto"/>
          <w:u w:val="single"/>
        </w:rPr>
        <w:t xml:space="preserve"> to file complaint</w:t>
      </w:r>
      <w:r w:rsidR="005E11E2" w:rsidRPr="005F0D6C">
        <w:rPr>
          <w:rFonts w:cs="Arial"/>
          <w:color w:val="auto"/>
          <w:u w:val="single"/>
        </w:rPr>
        <w:t>s</w:t>
      </w:r>
      <w:r w:rsidR="00BE1C4F" w:rsidRPr="005F0D6C">
        <w:rPr>
          <w:rFonts w:cs="Arial"/>
          <w:color w:val="auto"/>
          <w:u w:val="single"/>
        </w:rPr>
        <w:t xml:space="preserve"> and appeals</w:t>
      </w:r>
      <w:r w:rsidR="009A71D6" w:rsidRPr="005F0D6C">
        <w:rPr>
          <w:rFonts w:cs="Arial"/>
          <w:color w:val="auto"/>
          <w:u w:val="single"/>
        </w:rPr>
        <w:t xml:space="preserve"> pursuant to this subsection. </w:t>
      </w:r>
      <w:r w:rsidR="005E11E2" w:rsidRPr="005F0D6C">
        <w:rPr>
          <w:rFonts w:cs="Arial"/>
          <w:color w:val="auto"/>
          <w:u w:val="single"/>
        </w:rPr>
        <w:t>Each school principal shall report the number of complaints filed with him or her the previous school year, the nature of each complaint, and the resolution of each complaint to the county superintendent annually by August 1. The county superintendent shall report the number of complaints filed</w:t>
      </w:r>
      <w:r w:rsidR="00123B10" w:rsidRPr="005F0D6C">
        <w:rPr>
          <w:rFonts w:cs="Arial"/>
          <w:color w:val="auto"/>
          <w:u w:val="single"/>
        </w:rPr>
        <w:t xml:space="preserve"> in his or her county the previous school year, the nature of each complaint, and the resolution of each complaint to the state superintendent annually by September 1. </w:t>
      </w:r>
      <w:r w:rsidR="009A71D6" w:rsidRPr="005F0D6C">
        <w:rPr>
          <w:rFonts w:cs="Arial"/>
          <w:color w:val="auto"/>
          <w:u w:val="single"/>
        </w:rPr>
        <w:t>The state superintendent</w:t>
      </w:r>
      <w:r w:rsidR="00A04519" w:rsidRPr="005F0D6C">
        <w:rPr>
          <w:rFonts w:cs="Arial"/>
          <w:color w:val="auto"/>
          <w:u w:val="single"/>
        </w:rPr>
        <w:t>, or his or her designee</w:t>
      </w:r>
      <w:r w:rsidR="009A71D6" w:rsidRPr="005F0D6C">
        <w:rPr>
          <w:rFonts w:cs="Arial"/>
          <w:color w:val="auto"/>
          <w:u w:val="single"/>
        </w:rPr>
        <w:t>, annually by October 1, shall report to the Legislative Oversight Commission on Education Accountability the number of complaints filed during the previous school year</w:t>
      </w:r>
      <w:r w:rsidR="002B1C37" w:rsidRPr="005F0D6C">
        <w:rPr>
          <w:rFonts w:cs="Arial"/>
          <w:color w:val="auto"/>
          <w:u w:val="single"/>
        </w:rPr>
        <w:t xml:space="preserve"> statewide and by county, the nature of each complaint, and the resolution</w:t>
      </w:r>
      <w:r w:rsidR="004970DE" w:rsidRPr="005F0D6C">
        <w:rPr>
          <w:rFonts w:cs="Arial"/>
          <w:color w:val="auto"/>
          <w:u w:val="single"/>
        </w:rPr>
        <w:t xml:space="preserve"> of each complaint</w:t>
      </w:r>
      <w:r w:rsidR="009A71D6" w:rsidRPr="005F0D6C">
        <w:rPr>
          <w:rFonts w:cs="Arial"/>
          <w:color w:val="auto"/>
          <w:u w:val="single"/>
        </w:rPr>
        <w:t>.</w:t>
      </w:r>
    </w:p>
    <w:p w14:paraId="02AD2E30" w14:textId="77777777" w:rsidR="00AB262B" w:rsidRPr="00D31ADA" w:rsidRDefault="00AB262B" w:rsidP="00AB262B">
      <w:pPr>
        <w:pStyle w:val="ChapterHeading"/>
        <w:rPr>
          <w:color w:val="auto"/>
        </w:rPr>
        <w:sectPr w:rsidR="00AB262B" w:rsidRPr="00D31ADA" w:rsidSect="00AB262B">
          <w:type w:val="continuous"/>
          <w:pgSz w:w="12240" w:h="15840" w:code="1"/>
          <w:pgMar w:top="1440" w:right="1440" w:bottom="1440" w:left="1440" w:header="720" w:footer="720" w:gutter="0"/>
          <w:lnNumType w:countBy="1" w:restart="newSection"/>
          <w:cols w:space="720"/>
          <w:docGrid w:linePitch="360"/>
        </w:sectPr>
      </w:pPr>
      <w:r w:rsidRPr="00D31ADA">
        <w:rPr>
          <w:color w:val="auto"/>
        </w:rPr>
        <w:t>CHAPTER 18B. HIGHER EDUCATION.</w:t>
      </w:r>
    </w:p>
    <w:p w14:paraId="48D18D5A" w14:textId="77777777" w:rsidR="00AB262B" w:rsidRPr="00D31ADA" w:rsidRDefault="00AB262B" w:rsidP="00AB262B">
      <w:pPr>
        <w:pStyle w:val="ArticleHeading"/>
        <w:rPr>
          <w:color w:val="auto"/>
        </w:rPr>
        <w:sectPr w:rsidR="00AB262B" w:rsidRPr="00D31ADA" w:rsidSect="00262A72">
          <w:type w:val="continuous"/>
          <w:pgSz w:w="12240" w:h="15840" w:code="1"/>
          <w:pgMar w:top="1440" w:right="1440" w:bottom="1440" w:left="1440" w:header="720" w:footer="720" w:gutter="0"/>
          <w:lnNumType w:countBy="1" w:restart="newSection"/>
          <w:cols w:space="720"/>
          <w:titlePg/>
          <w:docGrid w:linePitch="360"/>
        </w:sectPr>
      </w:pPr>
      <w:r w:rsidRPr="00D31ADA">
        <w:rPr>
          <w:color w:val="auto"/>
        </w:rPr>
        <w:t>ARTICLE 14. MISCELLANEOUS.</w:t>
      </w:r>
    </w:p>
    <w:p w14:paraId="2A288C17" w14:textId="77777777" w:rsidR="00AB262B" w:rsidRPr="00D31ADA" w:rsidRDefault="00AB262B" w:rsidP="00AB262B">
      <w:pPr>
        <w:pStyle w:val="SectionHeading"/>
        <w:rPr>
          <w:color w:val="auto"/>
          <w:u w:val="single"/>
        </w:rPr>
      </w:pPr>
      <w:r w:rsidRPr="00D31ADA">
        <w:rPr>
          <w:color w:val="auto"/>
          <w:u w:val="single"/>
        </w:rPr>
        <w:t>§18B-14-4. Anti-Racism Act of 2022.</w:t>
      </w:r>
    </w:p>
    <w:p w14:paraId="70932964" w14:textId="77777777" w:rsidR="00AB262B" w:rsidRPr="00D31ADA" w:rsidRDefault="00AB262B" w:rsidP="00AB262B">
      <w:pPr>
        <w:pStyle w:val="SectionBody"/>
        <w:rPr>
          <w:color w:val="auto"/>
          <w:u w:val="single"/>
        </w:rPr>
      </w:pPr>
      <w:r w:rsidRPr="00D31ADA">
        <w:rPr>
          <w:color w:val="auto"/>
          <w:u w:val="single"/>
        </w:rPr>
        <w:t>(a) As used in this section:</w:t>
      </w:r>
    </w:p>
    <w:p w14:paraId="58A7D5C4" w14:textId="77777777" w:rsidR="00AB262B" w:rsidRPr="00D31ADA" w:rsidRDefault="00AB262B" w:rsidP="00AB262B">
      <w:pPr>
        <w:pStyle w:val="SectionBody"/>
        <w:rPr>
          <w:color w:val="auto"/>
          <w:u w:val="single"/>
        </w:rPr>
      </w:pPr>
      <w:r w:rsidRPr="00D31ADA">
        <w:rPr>
          <w:color w:val="auto"/>
          <w:u w:val="single"/>
        </w:rPr>
        <w:lastRenderedPageBreak/>
        <w:t>(1) “Biological sex” means an individual’s physical form as a male or female based solely on the individual’s reproductive biology and genetics at birth;</w:t>
      </w:r>
    </w:p>
    <w:p w14:paraId="39C0A488" w14:textId="77777777" w:rsidR="00AB262B" w:rsidRPr="00D31ADA" w:rsidRDefault="00AB262B" w:rsidP="00AB262B">
      <w:pPr>
        <w:pStyle w:val="SectionBody"/>
        <w:rPr>
          <w:color w:val="auto"/>
          <w:u w:val="single"/>
        </w:rPr>
      </w:pPr>
      <w:r w:rsidRPr="00D31ADA">
        <w:rPr>
          <w:color w:val="auto"/>
          <w:u w:val="single"/>
        </w:rPr>
        <w:t>(2) “Ethnic group” means a category of population that is set apart and bound together by common ties of race, language, nationality, or culture; and</w:t>
      </w:r>
    </w:p>
    <w:p w14:paraId="2E74D790" w14:textId="42415886" w:rsidR="00AB262B" w:rsidRDefault="00AB262B" w:rsidP="00AB262B">
      <w:pPr>
        <w:pStyle w:val="SectionBody"/>
        <w:rPr>
          <w:color w:val="auto"/>
          <w:u w:val="single"/>
        </w:rPr>
      </w:pPr>
      <w:r w:rsidRPr="00D31ADA">
        <w:rPr>
          <w:color w:val="auto"/>
          <w:u w:val="single"/>
        </w:rPr>
        <w:t>(3) “Race” means any one of the groups that humans are often divided into based on physical traits regarded as common among people of shared ancestry.</w:t>
      </w:r>
    </w:p>
    <w:p w14:paraId="5FEDD6C8" w14:textId="39F54AEF" w:rsidR="009D76D6" w:rsidRDefault="009D76D6" w:rsidP="00AB262B">
      <w:pPr>
        <w:pStyle w:val="SectionBody"/>
        <w:rPr>
          <w:color w:val="auto"/>
          <w:u w:val="single"/>
        </w:rPr>
      </w:pPr>
      <w:r>
        <w:rPr>
          <w:color w:val="auto"/>
          <w:u w:val="single"/>
        </w:rPr>
        <w:t>(b) State institutions of higher education in this state prohibit, among other things, discrimination on the basis of race, ethnicity, and biological sex in the administration of their education programs, activities, or with respect to admission or employment.</w:t>
      </w:r>
    </w:p>
    <w:p w14:paraId="12489283" w14:textId="5B4A5526" w:rsidR="009D76D6" w:rsidRPr="00D31ADA" w:rsidRDefault="009D76D6" w:rsidP="00AB262B">
      <w:pPr>
        <w:pStyle w:val="SectionBody"/>
        <w:rPr>
          <w:color w:val="auto"/>
          <w:u w:val="single"/>
        </w:rPr>
      </w:pPr>
      <w:r>
        <w:rPr>
          <w:color w:val="auto"/>
          <w:u w:val="single"/>
        </w:rPr>
        <w:t>(c) State institutions of higher education have an obligation to protect the right to free speech and expression protected by the First Amendment of the United Stat</w:t>
      </w:r>
      <w:r w:rsidR="005E11E2">
        <w:rPr>
          <w:color w:val="auto"/>
          <w:u w:val="single"/>
        </w:rPr>
        <w:t>e</w:t>
      </w:r>
      <w:r>
        <w:rPr>
          <w:color w:val="auto"/>
          <w:u w:val="single"/>
        </w:rPr>
        <w:t xml:space="preserve">s Constitution, the West Virginia Constitution and the provisions of article </w:t>
      </w:r>
      <w:r w:rsidR="004C0F2A">
        <w:rPr>
          <w:color w:val="auto"/>
          <w:u w:val="single"/>
        </w:rPr>
        <w:t>20</w:t>
      </w:r>
      <w:r>
        <w:rPr>
          <w:color w:val="auto"/>
          <w:u w:val="single"/>
        </w:rPr>
        <w:t xml:space="preserve"> of this chapter. As part of that commitment, state institutions of higher education must be committed to the principle that debate or deliberation may not be suppressed because the ideas put forth are thought by some or even by most members of the </w:t>
      </w:r>
      <w:r w:rsidR="004C0F2A">
        <w:rPr>
          <w:color w:val="auto"/>
          <w:u w:val="single"/>
        </w:rPr>
        <w:t>u</w:t>
      </w:r>
      <w:r>
        <w:rPr>
          <w:color w:val="auto"/>
          <w:u w:val="single"/>
        </w:rPr>
        <w:t xml:space="preserve">niversity community to be offensive, unwise, immoral, or </w:t>
      </w:r>
      <w:r w:rsidR="000F0688" w:rsidRPr="005F0D6C">
        <w:rPr>
          <w:color w:val="auto"/>
          <w:u w:val="single"/>
        </w:rPr>
        <w:t>misguided</w:t>
      </w:r>
      <w:r>
        <w:rPr>
          <w:color w:val="auto"/>
          <w:u w:val="single"/>
        </w:rPr>
        <w:t xml:space="preserve"> and that it is for the individual members of the </w:t>
      </w:r>
      <w:r w:rsidR="004C0F2A">
        <w:rPr>
          <w:color w:val="auto"/>
          <w:u w:val="single"/>
        </w:rPr>
        <w:t>u</w:t>
      </w:r>
      <w:r>
        <w:rPr>
          <w:color w:val="auto"/>
          <w:u w:val="single"/>
        </w:rPr>
        <w:t xml:space="preserve">niversity community, not for the </w:t>
      </w:r>
      <w:r w:rsidR="004C0F2A">
        <w:rPr>
          <w:color w:val="auto"/>
          <w:u w:val="single"/>
        </w:rPr>
        <w:t>u</w:t>
      </w:r>
      <w:r>
        <w:rPr>
          <w:color w:val="auto"/>
          <w:u w:val="single"/>
        </w:rPr>
        <w:t>niversity as an institution, to make those judgements for themselves.</w:t>
      </w:r>
    </w:p>
    <w:p w14:paraId="537E8734" w14:textId="5368F1D6" w:rsidR="00AB262B" w:rsidRPr="00D31ADA" w:rsidRDefault="00AB262B" w:rsidP="00AB262B">
      <w:pPr>
        <w:pStyle w:val="SectionBody"/>
        <w:rPr>
          <w:rFonts w:cs="Arial"/>
          <w:color w:val="auto"/>
          <w:u w:val="single"/>
        </w:rPr>
      </w:pPr>
      <w:r w:rsidRPr="00D31ADA">
        <w:rPr>
          <w:color w:val="auto"/>
          <w:u w:val="single"/>
        </w:rPr>
        <w:t>(</w:t>
      </w:r>
      <w:r w:rsidR="0000308A">
        <w:rPr>
          <w:color w:val="auto"/>
          <w:u w:val="single"/>
        </w:rPr>
        <w:t>d</w:t>
      </w:r>
      <w:r w:rsidRPr="00D31ADA">
        <w:rPr>
          <w:color w:val="auto"/>
          <w:u w:val="single"/>
        </w:rPr>
        <w:t>) Except as provided in subsection (</w:t>
      </w:r>
      <w:r w:rsidR="0000308A">
        <w:rPr>
          <w:color w:val="auto"/>
          <w:u w:val="single"/>
        </w:rPr>
        <w:t>e</w:t>
      </w:r>
      <w:r w:rsidRPr="00D31ADA">
        <w:rPr>
          <w:color w:val="auto"/>
          <w:u w:val="single"/>
        </w:rPr>
        <w:t xml:space="preserve">) of this section, a state institution of higher education or any employee of a state institution of higher education may not require </w:t>
      </w:r>
      <w:r w:rsidR="0000308A">
        <w:rPr>
          <w:color w:val="auto"/>
          <w:u w:val="single"/>
        </w:rPr>
        <w:t xml:space="preserve">a student </w:t>
      </w:r>
      <w:r w:rsidR="0052731C">
        <w:rPr>
          <w:color w:val="auto"/>
          <w:u w:val="single"/>
        </w:rPr>
        <w:t xml:space="preserve">or employee </w:t>
      </w:r>
      <w:r w:rsidR="0000308A">
        <w:rPr>
          <w:color w:val="auto"/>
          <w:u w:val="single"/>
        </w:rPr>
        <w:t xml:space="preserve">to take </w:t>
      </w:r>
      <w:r w:rsidRPr="00D31ADA">
        <w:rPr>
          <w:color w:val="auto"/>
          <w:u w:val="single"/>
        </w:rPr>
        <w:t xml:space="preserve">instruction in, </w:t>
      </w:r>
      <w:r w:rsidR="00026AAE">
        <w:rPr>
          <w:color w:val="auto"/>
          <w:u w:val="single"/>
        </w:rPr>
        <w:t>or include in the curriculum of any required course</w:t>
      </w:r>
      <w:r w:rsidRPr="00D31ADA">
        <w:rPr>
          <w:color w:val="auto"/>
          <w:u w:val="single"/>
        </w:rPr>
        <w:t xml:space="preserve">, or require a statement or affirmation by any </w:t>
      </w:r>
      <w:r w:rsidR="00026AAE">
        <w:rPr>
          <w:color w:val="auto"/>
          <w:u w:val="single"/>
        </w:rPr>
        <w:t xml:space="preserve">student or </w:t>
      </w:r>
      <w:r w:rsidRPr="00D31ADA">
        <w:rPr>
          <w:color w:val="auto"/>
          <w:u w:val="single"/>
        </w:rPr>
        <w:t xml:space="preserve">employee </w:t>
      </w:r>
      <w:r w:rsidR="00026AAE">
        <w:rPr>
          <w:color w:val="auto"/>
          <w:u w:val="single"/>
        </w:rPr>
        <w:t xml:space="preserve">that the </w:t>
      </w:r>
      <w:r w:rsidRPr="00D31ADA">
        <w:rPr>
          <w:color w:val="auto"/>
          <w:u w:val="single"/>
        </w:rPr>
        <w:t>following concepts</w:t>
      </w:r>
      <w:r w:rsidR="00026AAE">
        <w:rPr>
          <w:color w:val="auto"/>
          <w:u w:val="single"/>
        </w:rPr>
        <w:t xml:space="preserve"> are factual and accurate or must be held as a belief of the student or employee</w:t>
      </w:r>
      <w:r w:rsidRPr="00D31ADA">
        <w:rPr>
          <w:color w:val="auto"/>
          <w:u w:val="single"/>
        </w:rPr>
        <w:t>:</w:t>
      </w:r>
    </w:p>
    <w:p w14:paraId="3815B234" w14:textId="77777777" w:rsidR="00AB262B" w:rsidRPr="00D31ADA" w:rsidRDefault="00AB262B" w:rsidP="00AB262B">
      <w:pPr>
        <w:pStyle w:val="SectionBody"/>
        <w:rPr>
          <w:color w:val="auto"/>
          <w:u w:val="single"/>
        </w:rPr>
      </w:pPr>
      <w:r w:rsidRPr="00D31ADA">
        <w:rPr>
          <w:color w:val="auto"/>
          <w:u w:val="single"/>
        </w:rPr>
        <w:t>(1) One race, ethnic group, or biological sex is inherently, morally, or intellectually superior to another race, ethnic group, or biological sex;</w:t>
      </w:r>
    </w:p>
    <w:p w14:paraId="33624657" w14:textId="77777777" w:rsidR="00AB262B" w:rsidRPr="00D31ADA" w:rsidRDefault="00AB262B" w:rsidP="00AB262B">
      <w:pPr>
        <w:pStyle w:val="SectionBody"/>
        <w:rPr>
          <w:color w:val="auto"/>
          <w:u w:val="single"/>
        </w:rPr>
      </w:pPr>
      <w:r w:rsidRPr="00D31ADA">
        <w:rPr>
          <w:color w:val="auto"/>
          <w:u w:val="single"/>
        </w:rPr>
        <w:t>(2) An individual, by virtue of the individual’s race, ethnicity, or biological sex, is inherently racist, sexist, or oppressive, whether consciously or unconsciously;</w:t>
      </w:r>
    </w:p>
    <w:p w14:paraId="5C313C17" w14:textId="77777777" w:rsidR="00AB262B" w:rsidRPr="00D31ADA" w:rsidRDefault="00AB262B" w:rsidP="00AB262B">
      <w:pPr>
        <w:pStyle w:val="SectionBody"/>
        <w:rPr>
          <w:color w:val="auto"/>
          <w:u w:val="single"/>
        </w:rPr>
      </w:pPr>
      <w:r w:rsidRPr="00D31ADA">
        <w:rPr>
          <w:color w:val="auto"/>
          <w:u w:val="single"/>
        </w:rPr>
        <w:lastRenderedPageBreak/>
        <w:t>(3) An individual should be discriminated against or receive adverse treatment solely or partly because of the individual’s race, ethnicity, or biological sex;</w:t>
      </w:r>
    </w:p>
    <w:p w14:paraId="67DB18F1" w14:textId="77777777" w:rsidR="00AB262B" w:rsidRPr="00D31ADA" w:rsidRDefault="00AB262B" w:rsidP="00AB262B">
      <w:pPr>
        <w:pStyle w:val="SectionBody"/>
        <w:rPr>
          <w:color w:val="auto"/>
          <w:u w:val="single"/>
        </w:rPr>
      </w:pPr>
      <w:r w:rsidRPr="00D31ADA">
        <w:rPr>
          <w:color w:val="auto"/>
          <w:u w:val="single"/>
        </w:rPr>
        <w:t>(4) An individual’s moral character is determined by the individual’s race, ethnicity, or biological sex;</w:t>
      </w:r>
    </w:p>
    <w:p w14:paraId="5B58C68B" w14:textId="77777777" w:rsidR="00AB262B" w:rsidRPr="00D31ADA" w:rsidRDefault="00AB262B" w:rsidP="00AB262B">
      <w:pPr>
        <w:pStyle w:val="SectionBody"/>
        <w:rPr>
          <w:color w:val="auto"/>
          <w:u w:val="single"/>
        </w:rPr>
      </w:pPr>
      <w:r w:rsidRPr="00D31ADA">
        <w:rPr>
          <w:color w:val="auto"/>
          <w:u w:val="single"/>
        </w:rPr>
        <w:t>(5) An individual, by virtue of the individual’s race, ethnicity, or biological sex, bears responsibility for actions committed by other members of the same race, ethnic group, or biological sex;</w:t>
      </w:r>
    </w:p>
    <w:p w14:paraId="77C59909" w14:textId="604834E3" w:rsidR="00AB262B" w:rsidRPr="00D31ADA" w:rsidRDefault="00AB262B" w:rsidP="00AB262B">
      <w:pPr>
        <w:pStyle w:val="SectionBody"/>
        <w:rPr>
          <w:color w:val="auto"/>
          <w:u w:val="single"/>
        </w:rPr>
      </w:pPr>
      <w:r w:rsidRPr="00D31ADA">
        <w:rPr>
          <w:color w:val="auto"/>
          <w:u w:val="single"/>
        </w:rPr>
        <w:t xml:space="preserve">(6) An individual </w:t>
      </w:r>
      <w:r w:rsidR="00026AAE">
        <w:rPr>
          <w:color w:val="auto"/>
          <w:u w:val="single"/>
        </w:rPr>
        <w:t xml:space="preserve">has an obligation to </w:t>
      </w:r>
      <w:r w:rsidRPr="00D31ADA">
        <w:rPr>
          <w:color w:val="auto"/>
          <w:u w:val="single"/>
        </w:rPr>
        <w:t>feel discomfort, guilt, anguish, or any other form of psychological distress because of the individual’s race, ethnicity, or biological sex; and</w:t>
      </w:r>
    </w:p>
    <w:p w14:paraId="728CE69A" w14:textId="77777777" w:rsidR="00AB262B" w:rsidRPr="00D31ADA" w:rsidRDefault="00AB262B" w:rsidP="00AB262B">
      <w:pPr>
        <w:pStyle w:val="SectionBody"/>
        <w:rPr>
          <w:color w:val="auto"/>
          <w:u w:val="single"/>
        </w:rPr>
      </w:pPr>
      <w:r w:rsidRPr="00D31ADA">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0FE01C96" w14:textId="77777777" w:rsidR="00026AAE" w:rsidRDefault="00AB262B" w:rsidP="00AB262B">
      <w:pPr>
        <w:pStyle w:val="SectionBody"/>
        <w:rPr>
          <w:color w:val="auto"/>
          <w:u w:val="single"/>
        </w:rPr>
      </w:pPr>
      <w:bookmarkStart w:id="0" w:name="_Hlk96951287"/>
      <w:r w:rsidRPr="00D31ADA">
        <w:rPr>
          <w:color w:val="auto"/>
          <w:u w:val="single"/>
        </w:rPr>
        <w:t>(</w:t>
      </w:r>
      <w:r w:rsidR="00026AAE">
        <w:rPr>
          <w:color w:val="auto"/>
          <w:u w:val="single"/>
        </w:rPr>
        <w:t>e</w:t>
      </w:r>
      <w:r w:rsidRPr="00D31ADA">
        <w:rPr>
          <w:color w:val="auto"/>
          <w:u w:val="single"/>
        </w:rPr>
        <w:t>) Nothing in subsection (</w:t>
      </w:r>
      <w:r w:rsidR="00026AAE">
        <w:rPr>
          <w:color w:val="auto"/>
          <w:u w:val="single"/>
        </w:rPr>
        <w:t>d</w:t>
      </w:r>
      <w:r w:rsidRPr="00D31ADA">
        <w:rPr>
          <w:color w:val="auto"/>
          <w:u w:val="single"/>
        </w:rPr>
        <w:t>) of this section prohibits</w:t>
      </w:r>
      <w:r w:rsidR="00026AAE">
        <w:rPr>
          <w:color w:val="auto"/>
          <w:u w:val="single"/>
        </w:rPr>
        <w:t>:</w:t>
      </w:r>
    </w:p>
    <w:p w14:paraId="2277975C" w14:textId="54BB4CC6" w:rsidR="00AB262B" w:rsidRDefault="00026AAE" w:rsidP="00AB262B">
      <w:pPr>
        <w:pStyle w:val="SectionBody"/>
        <w:rPr>
          <w:color w:val="auto"/>
          <w:u w:val="single"/>
        </w:rPr>
      </w:pPr>
      <w:r>
        <w:rPr>
          <w:color w:val="auto"/>
          <w:u w:val="single"/>
        </w:rPr>
        <w:t>(1) T</w:t>
      </w:r>
      <w:r w:rsidR="00AB262B" w:rsidRPr="00D31ADA">
        <w:rPr>
          <w:color w:val="auto"/>
          <w:u w:val="single"/>
        </w:rPr>
        <w:t xml:space="preserve">he discussion of those concepts in theory as part of an academic course if discussion of alternative theories </w:t>
      </w:r>
      <w:proofErr w:type="gramStart"/>
      <w:r w:rsidR="00AB262B" w:rsidRPr="00D31ADA">
        <w:rPr>
          <w:color w:val="auto"/>
          <w:u w:val="single"/>
        </w:rPr>
        <w:t>are</w:t>
      </w:r>
      <w:proofErr w:type="gramEnd"/>
      <w:r w:rsidR="00AB262B" w:rsidRPr="00D31ADA">
        <w:rPr>
          <w:color w:val="auto"/>
          <w:u w:val="single"/>
        </w:rPr>
        <w:t xml:space="preserve"> also included in the course</w:t>
      </w:r>
      <w:r>
        <w:rPr>
          <w:color w:val="auto"/>
          <w:u w:val="single"/>
        </w:rPr>
        <w:t>;</w:t>
      </w:r>
    </w:p>
    <w:p w14:paraId="307D18A1" w14:textId="16F0A1D0" w:rsidR="00026AAE" w:rsidRDefault="00026AAE" w:rsidP="00AB262B">
      <w:pPr>
        <w:pStyle w:val="SectionBody"/>
        <w:rPr>
          <w:color w:val="auto"/>
          <w:u w:val="single"/>
        </w:rPr>
      </w:pPr>
      <w:r>
        <w:rPr>
          <w:color w:val="auto"/>
          <w:u w:val="single"/>
        </w:rPr>
        <w:t>(2) The discussion, examination, and debate that the role that race, ethnicity, or biological sex has impacted historical or current events, including the causes of those current or historical events; and</w:t>
      </w:r>
    </w:p>
    <w:p w14:paraId="4CB31BAB" w14:textId="16F1D763" w:rsidR="00026AAE" w:rsidRPr="00D31ADA" w:rsidRDefault="00026AAE" w:rsidP="00AB262B">
      <w:pPr>
        <w:pStyle w:val="SectionBody"/>
        <w:rPr>
          <w:color w:val="auto"/>
          <w:u w:val="single"/>
        </w:rPr>
      </w:pPr>
      <w:r>
        <w:rPr>
          <w:color w:val="auto"/>
          <w:u w:val="single"/>
        </w:rPr>
        <w:t>(3) The right to freedom of speech protected by the First Amendment of the United States Constitution, the West Virginia Constitution, and the provisions of article</w:t>
      </w:r>
      <w:r w:rsidR="004C0F2A">
        <w:rPr>
          <w:color w:val="auto"/>
          <w:u w:val="single"/>
        </w:rPr>
        <w:t xml:space="preserve"> 20</w:t>
      </w:r>
      <w:r>
        <w:rPr>
          <w:color w:val="auto"/>
          <w:u w:val="single"/>
        </w:rPr>
        <w:t xml:space="preserve"> of this chapter.</w:t>
      </w:r>
      <w:bookmarkEnd w:id="0"/>
    </w:p>
    <w:p w14:paraId="4DC52DCA" w14:textId="4CEEE15D" w:rsidR="00AB262B" w:rsidRDefault="00AB262B" w:rsidP="00680585">
      <w:pPr>
        <w:pStyle w:val="SectionBody"/>
        <w:rPr>
          <w:sz w:val="24"/>
        </w:rPr>
      </w:pPr>
      <w:r w:rsidRPr="00D31ADA">
        <w:rPr>
          <w:color w:val="auto"/>
          <w:u w:val="single"/>
        </w:rPr>
        <w:t>(</w:t>
      </w:r>
      <w:r w:rsidR="00B30EA7">
        <w:rPr>
          <w:color w:val="auto"/>
          <w:u w:val="single"/>
        </w:rPr>
        <w:t>f</w:t>
      </w:r>
      <w:r w:rsidRPr="00D31ADA">
        <w:rPr>
          <w:color w:val="auto"/>
          <w:u w:val="single"/>
        </w:rPr>
        <w:t>)</w:t>
      </w:r>
      <w:r w:rsidR="00026AAE">
        <w:rPr>
          <w:color w:val="auto"/>
          <w:u w:val="single"/>
        </w:rPr>
        <w:t xml:space="preserve"> Each campus shall report to the Higher Education Policy Commission or the Council for Community and Technical College Education, as applicable, a description of any violations of this </w:t>
      </w:r>
      <w:r w:rsidR="002538C8">
        <w:rPr>
          <w:color w:val="auto"/>
          <w:u w:val="single"/>
        </w:rPr>
        <w:t>section</w:t>
      </w:r>
      <w:r w:rsidR="00026AAE">
        <w:rPr>
          <w:color w:val="auto"/>
          <w:u w:val="single"/>
        </w:rPr>
        <w:t>.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w:t>
      </w:r>
      <w:r w:rsidR="002C25DD">
        <w:rPr>
          <w:rFonts w:cs="Arial"/>
          <w:color w:val="auto"/>
          <w:u w:val="single"/>
        </w:rPr>
        <w:t>.</w:t>
      </w:r>
      <w:r w:rsidR="002538C8">
        <w:rPr>
          <w:rFonts w:cs="Arial"/>
          <w:color w:val="auto"/>
          <w:u w:val="single"/>
        </w:rPr>
        <w:t xml:space="preserve"> The commission and council shall then report to </w:t>
      </w:r>
      <w:r w:rsidR="002538C8">
        <w:rPr>
          <w:rFonts w:cs="Arial"/>
          <w:color w:val="auto"/>
          <w:u w:val="single"/>
        </w:rPr>
        <w:lastRenderedPageBreak/>
        <w:t>the Legislative Oversight Commission on Education Accountability any violations reported to them pursuant to this subsection.</w:t>
      </w:r>
    </w:p>
    <w:p w14:paraId="243B61C0" w14:textId="77777777" w:rsidR="00E831B3" w:rsidRDefault="00E831B3" w:rsidP="00EF6030">
      <w:pPr>
        <w:pStyle w:val="References"/>
      </w:pPr>
    </w:p>
    <w:sectPr w:rsidR="00E831B3" w:rsidSect="00AB26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D62F" w14:textId="77777777" w:rsidR="00AB262B" w:rsidRDefault="00AB262B" w:rsidP="00CE6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753B64" w14:textId="77777777" w:rsidR="00AB262B" w:rsidRPr="00AB262B" w:rsidRDefault="00AB262B" w:rsidP="00AB2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84DD" w14:textId="34545A85" w:rsidR="00AB262B" w:rsidRDefault="00AB262B" w:rsidP="00CE6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D07152" w14:textId="37312E6D" w:rsidR="00AB262B" w:rsidRPr="00AB262B" w:rsidRDefault="00AB262B" w:rsidP="00AB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EA9F" w14:textId="2EAEC529" w:rsidR="00AB262B" w:rsidRPr="00AB262B" w:rsidRDefault="00AB262B" w:rsidP="00AB262B">
    <w:pPr>
      <w:pStyle w:val="Header"/>
    </w:pPr>
    <w:r>
      <w:t>CS for SB 498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F293" w14:textId="54AB9DE9" w:rsidR="00AB262B" w:rsidRPr="00AB262B" w:rsidRDefault="00AB262B" w:rsidP="00AB262B">
    <w:pPr>
      <w:pStyle w:val="Header"/>
    </w:pPr>
    <w:r>
      <w:t>CS for SB 498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308A"/>
    <w:rsid w:val="0000526A"/>
    <w:rsid w:val="00026AAE"/>
    <w:rsid w:val="00085D22"/>
    <w:rsid w:val="000C5C77"/>
    <w:rsid w:val="000F0688"/>
    <w:rsid w:val="0010070F"/>
    <w:rsid w:val="00123B10"/>
    <w:rsid w:val="001366A4"/>
    <w:rsid w:val="0015112E"/>
    <w:rsid w:val="001552E7"/>
    <w:rsid w:val="001566B4"/>
    <w:rsid w:val="00162D8A"/>
    <w:rsid w:val="00163E62"/>
    <w:rsid w:val="00175B38"/>
    <w:rsid w:val="001C279E"/>
    <w:rsid w:val="001D459E"/>
    <w:rsid w:val="00230763"/>
    <w:rsid w:val="002538C8"/>
    <w:rsid w:val="00262CF4"/>
    <w:rsid w:val="0027011C"/>
    <w:rsid w:val="00274200"/>
    <w:rsid w:val="00275740"/>
    <w:rsid w:val="002A0269"/>
    <w:rsid w:val="002B1C37"/>
    <w:rsid w:val="002C25DD"/>
    <w:rsid w:val="002C61CE"/>
    <w:rsid w:val="002F2699"/>
    <w:rsid w:val="00301F44"/>
    <w:rsid w:val="00303684"/>
    <w:rsid w:val="003143F5"/>
    <w:rsid w:val="00314854"/>
    <w:rsid w:val="003163E7"/>
    <w:rsid w:val="00365920"/>
    <w:rsid w:val="003C28F8"/>
    <w:rsid w:val="003C51CD"/>
    <w:rsid w:val="003D2B71"/>
    <w:rsid w:val="004247A2"/>
    <w:rsid w:val="004970DE"/>
    <w:rsid w:val="004B02C2"/>
    <w:rsid w:val="004B2795"/>
    <w:rsid w:val="004C0F2A"/>
    <w:rsid w:val="004C13DD"/>
    <w:rsid w:val="004E3441"/>
    <w:rsid w:val="00505DB7"/>
    <w:rsid w:val="0052731C"/>
    <w:rsid w:val="00571DC3"/>
    <w:rsid w:val="00572681"/>
    <w:rsid w:val="005A5366"/>
    <w:rsid w:val="005C423D"/>
    <w:rsid w:val="005E11E2"/>
    <w:rsid w:val="005F0D6C"/>
    <w:rsid w:val="00634EFF"/>
    <w:rsid w:val="00637E73"/>
    <w:rsid w:val="00637FD5"/>
    <w:rsid w:val="006565E8"/>
    <w:rsid w:val="00680585"/>
    <w:rsid w:val="006865E9"/>
    <w:rsid w:val="00691F3E"/>
    <w:rsid w:val="00694BFB"/>
    <w:rsid w:val="006A106B"/>
    <w:rsid w:val="006C523D"/>
    <w:rsid w:val="006D4036"/>
    <w:rsid w:val="0071717D"/>
    <w:rsid w:val="007E02CF"/>
    <w:rsid w:val="007F1CF5"/>
    <w:rsid w:val="0081249D"/>
    <w:rsid w:val="00834EDE"/>
    <w:rsid w:val="008736AA"/>
    <w:rsid w:val="008D275D"/>
    <w:rsid w:val="00980327"/>
    <w:rsid w:val="00997FCE"/>
    <w:rsid w:val="009A71D6"/>
    <w:rsid w:val="009D76D6"/>
    <w:rsid w:val="009F1067"/>
    <w:rsid w:val="009F5501"/>
    <w:rsid w:val="009F79A5"/>
    <w:rsid w:val="00A04519"/>
    <w:rsid w:val="00A238FB"/>
    <w:rsid w:val="00A31E01"/>
    <w:rsid w:val="00A35B03"/>
    <w:rsid w:val="00A527AD"/>
    <w:rsid w:val="00A64DC9"/>
    <w:rsid w:val="00A718CF"/>
    <w:rsid w:val="00A72E7C"/>
    <w:rsid w:val="00A80A68"/>
    <w:rsid w:val="00A97871"/>
    <w:rsid w:val="00AB262B"/>
    <w:rsid w:val="00AC3B58"/>
    <w:rsid w:val="00AE48A0"/>
    <w:rsid w:val="00AE61BE"/>
    <w:rsid w:val="00AF1141"/>
    <w:rsid w:val="00B16F25"/>
    <w:rsid w:val="00B24422"/>
    <w:rsid w:val="00B30EA7"/>
    <w:rsid w:val="00B33253"/>
    <w:rsid w:val="00B34EC0"/>
    <w:rsid w:val="00B708B1"/>
    <w:rsid w:val="00B80C20"/>
    <w:rsid w:val="00B844FE"/>
    <w:rsid w:val="00BC562B"/>
    <w:rsid w:val="00BE1C4F"/>
    <w:rsid w:val="00C33014"/>
    <w:rsid w:val="00C33434"/>
    <w:rsid w:val="00C34869"/>
    <w:rsid w:val="00C42EB6"/>
    <w:rsid w:val="00C612CD"/>
    <w:rsid w:val="00C85096"/>
    <w:rsid w:val="00CB20EF"/>
    <w:rsid w:val="00CD12CB"/>
    <w:rsid w:val="00CD36CF"/>
    <w:rsid w:val="00CD3F81"/>
    <w:rsid w:val="00CF1DCA"/>
    <w:rsid w:val="00D42F9F"/>
    <w:rsid w:val="00D579FC"/>
    <w:rsid w:val="00DA065F"/>
    <w:rsid w:val="00DB64DF"/>
    <w:rsid w:val="00DC2EF4"/>
    <w:rsid w:val="00DE526B"/>
    <w:rsid w:val="00DF199D"/>
    <w:rsid w:val="00DF4120"/>
    <w:rsid w:val="00E01542"/>
    <w:rsid w:val="00E31B5B"/>
    <w:rsid w:val="00E362C7"/>
    <w:rsid w:val="00E365F1"/>
    <w:rsid w:val="00E62F48"/>
    <w:rsid w:val="00E831B3"/>
    <w:rsid w:val="00EA4CAC"/>
    <w:rsid w:val="00EB203E"/>
    <w:rsid w:val="00EE70CB"/>
    <w:rsid w:val="00EF6030"/>
    <w:rsid w:val="00F23775"/>
    <w:rsid w:val="00F41CA2"/>
    <w:rsid w:val="00F443C0"/>
    <w:rsid w:val="00F50749"/>
    <w:rsid w:val="00F62EFB"/>
    <w:rsid w:val="00F83AE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6055527A-40B6-4632-B6CB-74BFE995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B262B"/>
    <w:rPr>
      <w:rFonts w:eastAsia="Calibri"/>
      <w:b/>
      <w:caps/>
      <w:color w:val="000000"/>
      <w:sz w:val="24"/>
    </w:rPr>
  </w:style>
  <w:style w:type="character" w:customStyle="1" w:styleId="ChapterHeadingChar">
    <w:name w:val="Chapter Heading Char"/>
    <w:link w:val="ChapterHeading"/>
    <w:rsid w:val="00AB262B"/>
    <w:rPr>
      <w:rFonts w:eastAsia="Calibri"/>
      <w:b/>
      <w:caps/>
      <w:color w:val="000000"/>
      <w:sz w:val="28"/>
    </w:rPr>
  </w:style>
  <w:style w:type="character" w:customStyle="1" w:styleId="SectionBodyChar">
    <w:name w:val="Section Body Char"/>
    <w:link w:val="SectionBody"/>
    <w:rsid w:val="00AB262B"/>
    <w:rPr>
      <w:rFonts w:eastAsia="Calibri"/>
      <w:color w:val="000000"/>
    </w:rPr>
  </w:style>
  <w:style w:type="character" w:customStyle="1" w:styleId="SectionHeadingChar">
    <w:name w:val="Section Heading Char"/>
    <w:link w:val="SectionHeading"/>
    <w:rsid w:val="00AB262B"/>
    <w:rPr>
      <w:rFonts w:eastAsia="Calibri"/>
      <w:b/>
      <w:color w:val="000000"/>
    </w:rPr>
  </w:style>
  <w:style w:type="character" w:styleId="PageNumber">
    <w:name w:val="page number"/>
    <w:basedOn w:val="DefaultParagraphFont"/>
    <w:uiPriority w:val="99"/>
    <w:semiHidden/>
    <w:locked/>
    <w:rsid w:val="00AB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0244" w:rsidRDefault="004D024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0244" w:rsidRDefault="004D024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0244" w:rsidRDefault="004D024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D0244" w:rsidRDefault="004D024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D0244" w:rsidRDefault="004D0244">
          <w:pPr>
            <w:pStyle w:val="5E771B5A25284D139447082E3754990B"/>
          </w:pPr>
          <w:r>
            <w:rPr>
              <w:rStyle w:val="PlaceholderText"/>
            </w:rPr>
            <w:t>January 14, 2016</w:t>
          </w:r>
        </w:p>
      </w:docPartBody>
    </w:docPart>
    <w:docPart>
      <w:docPartPr>
        <w:name w:val="8AC2D792BDC94D1E847F17DEBB95E206"/>
        <w:category>
          <w:name w:val="General"/>
          <w:gallery w:val="placeholder"/>
        </w:category>
        <w:types>
          <w:type w:val="bbPlcHdr"/>
        </w:types>
        <w:behaviors>
          <w:behavior w:val="content"/>
        </w:behaviors>
        <w:guid w:val="{60B3A698-005E-458D-81C1-6BA5F47FC9E2}"/>
      </w:docPartPr>
      <w:docPartBody>
        <w:p w:rsidR="00DD6871" w:rsidRDefault="00C631BE" w:rsidP="00C631BE">
          <w:pPr>
            <w:pStyle w:val="8AC2D792BDC94D1E847F17DEBB95E206"/>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44"/>
    <w:rsid w:val="004D0244"/>
    <w:rsid w:val="008B356E"/>
    <w:rsid w:val="00C631BE"/>
    <w:rsid w:val="00DD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024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8AC2D792BDC94D1E847F17DEBB95E206">
    <w:name w:val="8AC2D792BDC94D1E847F17DEBB95E206"/>
    <w:rsid w:val="00C63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1619</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2022-02-28T20:51:00Z</cp:lastPrinted>
  <dcterms:created xsi:type="dcterms:W3CDTF">2022-02-28T21:20:00Z</dcterms:created>
  <dcterms:modified xsi:type="dcterms:W3CDTF">2022-03-01T01:22:00Z</dcterms:modified>
</cp:coreProperties>
</file>